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01" w:type="dxa"/>
        <w:tblInd w:w="-421" w:type="dxa"/>
        <w:tblLayout w:type="fixed"/>
        <w:tblCellMar>
          <w:left w:w="0" w:type="dxa"/>
          <w:right w:w="0" w:type="dxa"/>
        </w:tblCellMar>
        <w:tblLook w:val="0000" w:firstRow="0" w:lastRow="0" w:firstColumn="0" w:lastColumn="0" w:noHBand="0" w:noVBand="0"/>
      </w:tblPr>
      <w:tblGrid>
        <w:gridCol w:w="4561"/>
        <w:gridCol w:w="10040"/>
      </w:tblGrid>
      <w:tr w:rsidR="00537C01" w:rsidRPr="00FA345D" w:rsidTr="00277919">
        <w:trPr>
          <w:cantSplit/>
        </w:trPr>
        <w:tc>
          <w:tcPr>
            <w:tcW w:w="14601" w:type="dxa"/>
            <w:gridSpan w:val="2"/>
            <w:tcBorders>
              <w:top w:val="single" w:sz="4" w:space="0" w:color="000000"/>
              <w:left w:val="single" w:sz="4" w:space="0" w:color="000000"/>
              <w:bottom w:val="single" w:sz="4" w:space="0" w:color="000000"/>
              <w:right w:val="single" w:sz="4" w:space="0" w:color="000000"/>
            </w:tcBorders>
            <w:vAlign w:val="center"/>
          </w:tcPr>
          <w:p w:rsidR="00537C01" w:rsidRPr="00E276C9" w:rsidRDefault="00E276C9" w:rsidP="00277919">
            <w:pPr>
              <w:pStyle w:val="Tekstpodstawowy"/>
              <w:snapToGrid w:val="0"/>
              <w:jc w:val="left"/>
              <w:rPr>
                <w:rFonts w:ascii="Arial" w:hAnsi="Arial" w:cs="Arial"/>
                <w:b/>
                <w:bCs/>
                <w:sz w:val="20"/>
              </w:rPr>
            </w:pPr>
            <w:r w:rsidRPr="00E276C9">
              <w:rPr>
                <w:rFonts w:ascii="Arial" w:hAnsi="Arial" w:cs="Arial"/>
                <w:sz w:val="20"/>
              </w:rPr>
              <w:t xml:space="preserve">Wózek do przewozu pacjenta </w:t>
            </w:r>
            <w:r w:rsidR="00373A0C">
              <w:rPr>
                <w:rFonts w:ascii="Arial" w:hAnsi="Arial" w:cs="Arial"/>
                <w:sz w:val="20"/>
              </w:rPr>
              <w:t>potencjalnie zakaźnych</w:t>
            </w:r>
          </w:p>
        </w:tc>
      </w:tr>
      <w:tr w:rsidR="005A7B30" w:rsidRPr="00FA345D" w:rsidTr="00277919">
        <w:trPr>
          <w:cantSplit/>
        </w:trPr>
        <w:tc>
          <w:tcPr>
            <w:tcW w:w="14601" w:type="dxa"/>
            <w:gridSpan w:val="2"/>
            <w:tcBorders>
              <w:top w:val="single" w:sz="4" w:space="0" w:color="000000"/>
              <w:left w:val="single" w:sz="4" w:space="0" w:color="000000"/>
              <w:bottom w:val="single" w:sz="4" w:space="0" w:color="000000"/>
              <w:right w:val="single" w:sz="4" w:space="0" w:color="000000"/>
            </w:tcBorders>
            <w:vAlign w:val="center"/>
          </w:tcPr>
          <w:p w:rsidR="005A7B30" w:rsidRPr="00E276C9" w:rsidRDefault="005A7B30" w:rsidP="00277919">
            <w:pPr>
              <w:pStyle w:val="Tekstpodstawowy"/>
              <w:snapToGrid w:val="0"/>
              <w:jc w:val="left"/>
              <w:rPr>
                <w:rFonts w:ascii="Arial" w:hAnsi="Arial" w:cs="Arial"/>
                <w:sz w:val="20"/>
                <w:lang w:val="en-US"/>
              </w:rPr>
            </w:pPr>
            <w:r w:rsidRPr="00E276C9">
              <w:rPr>
                <w:rFonts w:ascii="Arial" w:hAnsi="Arial" w:cs="Arial"/>
                <w:sz w:val="20"/>
              </w:rPr>
              <w:t xml:space="preserve">Producent: </w:t>
            </w:r>
          </w:p>
        </w:tc>
      </w:tr>
      <w:tr w:rsidR="005A7B30" w:rsidRPr="00FA345D" w:rsidTr="00277919">
        <w:tc>
          <w:tcPr>
            <w:tcW w:w="4561" w:type="dxa"/>
            <w:tcBorders>
              <w:top w:val="single" w:sz="4" w:space="0" w:color="000000"/>
              <w:left w:val="single" w:sz="4" w:space="0" w:color="000000"/>
              <w:bottom w:val="single" w:sz="4" w:space="0" w:color="000000"/>
            </w:tcBorders>
            <w:vAlign w:val="center"/>
          </w:tcPr>
          <w:p w:rsidR="005A7B30" w:rsidRPr="00E276C9" w:rsidRDefault="005A7B30" w:rsidP="00277919">
            <w:pPr>
              <w:pStyle w:val="Tekstpodstawowy"/>
              <w:snapToGrid w:val="0"/>
              <w:jc w:val="left"/>
              <w:rPr>
                <w:rFonts w:ascii="Arial" w:hAnsi="Arial" w:cs="Arial"/>
                <w:sz w:val="20"/>
              </w:rPr>
            </w:pPr>
            <w:r w:rsidRPr="00E276C9">
              <w:rPr>
                <w:rFonts w:ascii="Arial" w:hAnsi="Arial" w:cs="Arial"/>
                <w:sz w:val="20"/>
              </w:rPr>
              <w:t>Nazwa i typ aparatu:</w:t>
            </w:r>
          </w:p>
        </w:tc>
        <w:tc>
          <w:tcPr>
            <w:tcW w:w="10040" w:type="dxa"/>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rPr>
                <w:rFonts w:ascii="Arial" w:hAnsi="Arial" w:cs="Arial"/>
                <w:sz w:val="24"/>
                <w:szCs w:val="24"/>
                <w:lang w:val="en-US"/>
              </w:rPr>
            </w:pPr>
            <w:r w:rsidRPr="00FA345D">
              <w:rPr>
                <w:rFonts w:ascii="Arial" w:hAnsi="Arial" w:cs="Arial"/>
                <w:b/>
                <w:sz w:val="24"/>
                <w:szCs w:val="24"/>
              </w:rPr>
              <w:t xml:space="preserve"> </w:t>
            </w:r>
          </w:p>
        </w:tc>
      </w:tr>
      <w:tr w:rsidR="005A7B30" w:rsidRPr="00FA345D" w:rsidTr="00277919">
        <w:tc>
          <w:tcPr>
            <w:tcW w:w="4561" w:type="dxa"/>
            <w:tcBorders>
              <w:top w:val="single" w:sz="4" w:space="0" w:color="000000"/>
              <w:left w:val="single" w:sz="4" w:space="0" w:color="000000"/>
              <w:bottom w:val="single" w:sz="4" w:space="0" w:color="000000"/>
            </w:tcBorders>
            <w:vAlign w:val="center"/>
          </w:tcPr>
          <w:p w:rsidR="005A7B30" w:rsidRPr="00E276C9" w:rsidRDefault="005A7B30" w:rsidP="00277919">
            <w:pPr>
              <w:pStyle w:val="Tekstpodstawowy"/>
              <w:snapToGrid w:val="0"/>
              <w:rPr>
                <w:rFonts w:ascii="Arial" w:hAnsi="Arial" w:cs="Arial"/>
                <w:sz w:val="20"/>
              </w:rPr>
            </w:pPr>
            <w:r w:rsidRPr="00E276C9">
              <w:rPr>
                <w:rFonts w:ascii="Arial" w:hAnsi="Arial" w:cs="Arial"/>
                <w:sz w:val="20"/>
              </w:rPr>
              <w:t>Kraj pochodzenia:</w:t>
            </w:r>
          </w:p>
        </w:tc>
        <w:tc>
          <w:tcPr>
            <w:tcW w:w="10040" w:type="dxa"/>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rPr>
                <w:rFonts w:ascii="Arial" w:hAnsi="Arial" w:cs="Arial"/>
                <w:b/>
                <w:sz w:val="24"/>
                <w:szCs w:val="24"/>
              </w:rPr>
            </w:pPr>
          </w:p>
        </w:tc>
      </w:tr>
      <w:tr w:rsidR="005A7B30" w:rsidRPr="00FA345D" w:rsidTr="00277919">
        <w:tc>
          <w:tcPr>
            <w:tcW w:w="4561" w:type="dxa"/>
            <w:tcBorders>
              <w:top w:val="single" w:sz="4" w:space="0" w:color="000000"/>
              <w:left w:val="single" w:sz="4" w:space="0" w:color="000000"/>
              <w:bottom w:val="single" w:sz="4" w:space="0" w:color="000000"/>
            </w:tcBorders>
            <w:vAlign w:val="center"/>
          </w:tcPr>
          <w:p w:rsidR="005A7B30" w:rsidRPr="00E276C9" w:rsidRDefault="005A7B30" w:rsidP="00277919">
            <w:pPr>
              <w:pStyle w:val="Tekstpodstawowy"/>
              <w:snapToGrid w:val="0"/>
              <w:rPr>
                <w:rFonts w:ascii="Arial" w:hAnsi="Arial" w:cs="Arial"/>
                <w:sz w:val="20"/>
              </w:rPr>
            </w:pPr>
            <w:r w:rsidRPr="00E276C9">
              <w:rPr>
                <w:rFonts w:ascii="Arial" w:hAnsi="Arial" w:cs="Arial"/>
                <w:sz w:val="20"/>
              </w:rPr>
              <w:t>Rok produkcji (wymagany:</w:t>
            </w:r>
            <w:r w:rsidR="001A4387" w:rsidRPr="00E276C9">
              <w:rPr>
                <w:rFonts w:ascii="Arial" w:hAnsi="Arial" w:cs="Arial"/>
                <w:sz w:val="20"/>
              </w:rPr>
              <w:t xml:space="preserve"> min. </w:t>
            </w:r>
            <w:r w:rsidRPr="00E276C9">
              <w:rPr>
                <w:rFonts w:ascii="Arial" w:hAnsi="Arial" w:cs="Arial"/>
                <w:sz w:val="20"/>
              </w:rPr>
              <w:t>20</w:t>
            </w:r>
            <w:r w:rsidR="00286195" w:rsidRPr="00E276C9">
              <w:rPr>
                <w:rFonts w:ascii="Arial" w:hAnsi="Arial" w:cs="Arial"/>
                <w:sz w:val="20"/>
              </w:rPr>
              <w:t>19</w:t>
            </w:r>
            <w:r w:rsidRPr="00E276C9">
              <w:rPr>
                <w:rFonts w:ascii="Arial" w:hAnsi="Arial" w:cs="Arial"/>
                <w:sz w:val="20"/>
              </w:rPr>
              <w:t xml:space="preserve"> )</w:t>
            </w:r>
          </w:p>
        </w:tc>
        <w:tc>
          <w:tcPr>
            <w:tcW w:w="10040" w:type="dxa"/>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rPr>
                <w:rFonts w:ascii="Arial" w:hAnsi="Arial" w:cs="Arial"/>
                <w:b/>
                <w:sz w:val="24"/>
                <w:szCs w:val="24"/>
              </w:rPr>
            </w:pPr>
            <w:r w:rsidRPr="00FA345D">
              <w:rPr>
                <w:rFonts w:ascii="Arial" w:hAnsi="Arial" w:cs="Arial"/>
                <w:sz w:val="24"/>
                <w:szCs w:val="24"/>
              </w:rPr>
              <w:t xml:space="preserve"> </w:t>
            </w:r>
          </w:p>
        </w:tc>
      </w:tr>
    </w:tbl>
    <w:p w:rsidR="005A7B30" w:rsidRDefault="005A7B30" w:rsidP="005A7B30"/>
    <w:p w:rsidR="005A7B30" w:rsidRDefault="005A7B30" w:rsidP="005A7B30"/>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38"/>
        <w:gridCol w:w="2268"/>
        <w:gridCol w:w="3402"/>
      </w:tblGrid>
      <w:tr w:rsidR="005A7B30" w:rsidRPr="00FA345D" w:rsidTr="00277919">
        <w:tc>
          <w:tcPr>
            <w:tcW w:w="993"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L.p.</w:t>
            </w:r>
          </w:p>
        </w:tc>
        <w:tc>
          <w:tcPr>
            <w:tcW w:w="7938"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WYMAGANE WARUNKI I PARAMETRY</w:t>
            </w:r>
          </w:p>
        </w:tc>
        <w:tc>
          <w:tcPr>
            <w:tcW w:w="2268"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Wymagania</w:t>
            </w:r>
          </w:p>
        </w:tc>
        <w:tc>
          <w:tcPr>
            <w:tcW w:w="3402"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Parametry oferowane</w:t>
            </w: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Wymiary zewnętrzne 1950x650mm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Podać</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Konstrukcja wózka wykonana ze stali z elementami z tworzywa sztucznego (ABS)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Dwusegmentowe leże wykonane z tworzywa ABS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 xml:space="preserve">TAK </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Zakres regulacji segmentu pleców 0°-75°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Regulowana wysokość leża 500-900mm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Dopuszczalne obciążenie robocze 220kg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Wózek wyposażony w materac, mocowany na dostosowanych do tego celu pasach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Grubość materaca 50mm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Wózek wyposażony w dwa uchwyty do prowadzenia (z tyłu i z przodu)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Uchwyty do prowadzenia stanowiące integralną część platformy leża wózka (nie wystające poza obrys)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Wózek wyposażony w uchwyt butli z tlenem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Barierki boczne, pojedyncze, po każdej stronie łóżka, wykonane z tworzywa ABS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Dwupozycyjne barierki boczne, posiadające bezpieczny mechanizm zamknięcia, uniemożliwiający przypadkowe opuszczenie przez pacjenta, opuszczane poniżej linii leża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 xml:space="preserve">TAK </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Barierki opuszczane spowolnionym, płynnym ruchem, dzięki zastosowaniu sprężyn gazowych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r w:rsidRPr="00E276C9">
              <w:rPr>
                <w:rFonts w:ascii="Arial" w:hAnsi="Arial" w:cs="Arial"/>
              </w:rPr>
              <w:t>TAK</w:t>
            </w: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r w:rsidR="00E276C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E276C9" w:rsidRPr="00E276C9" w:rsidRDefault="00E276C9" w:rsidP="00E276C9">
            <w:pPr>
              <w:rPr>
                <w:rFonts w:ascii="Arial" w:hAnsi="Arial" w:cs="Arial"/>
              </w:rPr>
            </w:pPr>
            <w:r w:rsidRPr="00E276C9">
              <w:rPr>
                <w:rFonts w:ascii="Arial" w:hAnsi="Arial" w:cs="Arial"/>
              </w:rPr>
              <w:t xml:space="preserve">Koła cichobieżne blokowane centralnie w osłonie przeciwpyłowej </w:t>
            </w:r>
          </w:p>
        </w:tc>
        <w:tc>
          <w:tcPr>
            <w:tcW w:w="2268" w:type="dxa"/>
            <w:tcBorders>
              <w:top w:val="single" w:sz="4" w:space="0" w:color="auto"/>
              <w:left w:val="single" w:sz="4" w:space="0" w:color="auto"/>
              <w:bottom w:val="single" w:sz="4" w:space="0" w:color="auto"/>
              <w:right w:val="single" w:sz="4" w:space="0" w:color="auto"/>
            </w:tcBorders>
            <w:vAlign w:val="center"/>
          </w:tcPr>
          <w:p w:rsidR="00E276C9" w:rsidRPr="00E276C9" w:rsidRDefault="00E276C9" w:rsidP="00E276C9">
            <w:pPr>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tcPr>
          <w:p w:rsidR="00E276C9" w:rsidRPr="00FA345D" w:rsidRDefault="00E276C9" w:rsidP="00E276C9">
            <w:pPr>
              <w:pStyle w:val="ArialNarow"/>
              <w:rPr>
                <w:rFonts w:ascii="Arial" w:hAnsi="Arial" w:cs="Arial"/>
              </w:rPr>
            </w:pPr>
          </w:p>
        </w:tc>
      </w:tr>
    </w:tbl>
    <w:p w:rsidR="00CF7C69" w:rsidRPr="00CF7C69" w:rsidRDefault="00CF7C69" w:rsidP="00CF7C69">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Na dostarczone urządzenia medyczne  wykonawca udzieli:  </w:t>
      </w:r>
    </w:p>
    <w:p w:rsidR="00CF7C69" w:rsidRPr="00CF7C69" w:rsidRDefault="00CF7C69" w:rsidP="00CF7C69">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Wymaganej w opisie przedmiotu zamówienia gwarancji producenta (z opcja przedłużenia gwarancji) i rękojmię w „pełnym zakresie” tj.: wszelkie naprawy  łącznie z materiałami, i wymiany elementów zestawu i jego  podzespołów, konserwacje,  przeglądy techniczne z okresowymi przeglądami obowiązkowymi wraz z materiałami,  wykonywanymi zgodnie z zaleceniami producenta  (gwarancja obejmuje wszelkie koszty w tym, w szczególności koszty, robocizny, materiałów,  dojazdu, wyżywienia i noclegu serwisantów itp. Okres gwarancji dla nowo zainstalowanych elementów po naprawie minimum 24 miesiące. </w:t>
      </w:r>
    </w:p>
    <w:p w:rsidR="00CF7C69" w:rsidRPr="00CF7C69" w:rsidRDefault="00CF7C69" w:rsidP="00CF7C69">
      <w:pPr>
        <w:numPr>
          <w:ilvl w:val="0"/>
          <w:numId w:val="2"/>
        </w:numPr>
        <w:spacing w:after="4" w:line="248"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minimum przez  7 lat od upływu pełnego okresu gwarancji  serwis pogwarancyjny oraz sprzedaż części zamiennych i materiałów eksploatacyjnych</w:t>
      </w:r>
      <w:r w:rsidRPr="00CF7C69">
        <w:rPr>
          <w:rFonts w:ascii="Arial" w:eastAsia="Arial" w:hAnsi="Arial" w:cs="Arial"/>
          <w:b/>
          <w:color w:val="000000"/>
          <w:sz w:val="18"/>
          <w:szCs w:val="22"/>
          <w:lang w:eastAsia="en-US"/>
        </w:rPr>
        <w:t xml:space="preserve"> </w:t>
      </w:r>
    </w:p>
    <w:p w:rsidR="00CF7C69" w:rsidRPr="00CF7C69" w:rsidRDefault="00CF7C69" w:rsidP="00CF7C69">
      <w:pPr>
        <w:numPr>
          <w:ilvl w:val="0"/>
          <w:numId w:val="2"/>
        </w:numPr>
        <w:spacing w:after="36" w:line="239"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na własny koszt i we własnym zakresie dostawę i montaż urządzenia we wskazanym miejscu Szpitala, prezentację oraz szkolenie personelu przygotowujące do pracy na urządzeniu. Dostawa urządzenia do magazynu Szpitala  jest niezależna od terminu faktycznego montażu urządzenia i szkolenia, które zostaną uzgodnione miedzy stronami po zawarciu umowy.</w:t>
      </w:r>
      <w:r w:rsidRPr="00CF7C69">
        <w:rPr>
          <w:rFonts w:ascii="Arial" w:eastAsia="Arial" w:hAnsi="Arial" w:cs="Arial"/>
          <w:b/>
          <w:color w:val="000000"/>
          <w:sz w:val="18"/>
          <w:szCs w:val="22"/>
          <w:lang w:eastAsia="en-US"/>
        </w:rPr>
        <w:t xml:space="preserve"> </w:t>
      </w:r>
    </w:p>
    <w:p w:rsidR="00CF7C69" w:rsidRPr="00CF7C69" w:rsidRDefault="00CF7C69" w:rsidP="00CF7C69">
      <w:pPr>
        <w:spacing w:line="259" w:lineRule="auto"/>
        <w:ind w:left="720"/>
        <w:rPr>
          <w:rFonts w:ascii="Arial" w:eastAsia="Arial" w:hAnsi="Arial" w:cs="Arial"/>
          <w:color w:val="000000"/>
          <w:sz w:val="18"/>
          <w:szCs w:val="22"/>
          <w:lang w:eastAsia="en-US"/>
        </w:rPr>
      </w:pPr>
      <w:r w:rsidRPr="00CF7C69">
        <w:rPr>
          <w:rFonts w:ascii="Arial" w:eastAsia="Arial" w:hAnsi="Arial" w:cs="Arial"/>
          <w:color w:val="000000"/>
          <w:sz w:val="22"/>
          <w:szCs w:val="22"/>
          <w:lang w:eastAsia="en-US"/>
        </w:rPr>
        <w:t xml:space="preserve"> </w:t>
      </w:r>
    </w:p>
    <w:p w:rsidR="00CF7C69" w:rsidRPr="00CF7C69" w:rsidRDefault="00CF7C69" w:rsidP="00CF7C69">
      <w:pPr>
        <w:spacing w:line="259" w:lineRule="auto"/>
        <w:rPr>
          <w:rFonts w:ascii="Arial" w:eastAsia="Arial" w:hAnsi="Arial" w:cs="Arial"/>
          <w:color w:val="000000"/>
          <w:sz w:val="18"/>
          <w:szCs w:val="22"/>
          <w:lang w:eastAsia="en-US"/>
        </w:rPr>
      </w:pPr>
      <w:r w:rsidRPr="00CF7C69">
        <w:rPr>
          <w:rFonts w:ascii="Arial" w:eastAsia="Arial" w:hAnsi="Arial" w:cs="Arial"/>
          <w:b/>
          <w:color w:val="000000"/>
          <w:sz w:val="22"/>
          <w:szCs w:val="22"/>
          <w:lang w:eastAsia="en-US"/>
        </w:rPr>
        <w:t xml:space="preserve"> </w:t>
      </w:r>
    </w:p>
    <w:p w:rsidR="00CF7C69" w:rsidRPr="00CF7C69" w:rsidRDefault="00CF7C69" w:rsidP="00CF7C69">
      <w:pPr>
        <w:numPr>
          <w:ilvl w:val="0"/>
          <w:numId w:val="3"/>
        </w:numPr>
        <w:spacing w:after="4" w:line="248"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 w:val="18"/>
          <w:szCs w:val="22"/>
          <w:u w:val="single" w:color="000000"/>
          <w:lang w:eastAsia="en-US"/>
        </w:rPr>
        <w:lastRenderedPageBreak/>
        <w:t>Objaśnienia dot. tabel z parametrami</w:t>
      </w:r>
      <w:r w:rsidRPr="00CF7C69">
        <w:rPr>
          <w:rFonts w:ascii="Arial" w:eastAsia="Arial" w:hAnsi="Arial" w:cs="Arial"/>
          <w:b/>
          <w:color w:val="000000"/>
          <w:sz w:val="18"/>
          <w:szCs w:val="22"/>
          <w:lang w:eastAsia="en-US"/>
        </w:rPr>
        <w:t xml:space="preserve">  </w:t>
      </w:r>
    </w:p>
    <w:p w:rsidR="00CF7C69" w:rsidRPr="00CF7C69" w:rsidRDefault="00CF7C69" w:rsidP="00CF7C69">
      <w:pPr>
        <w:numPr>
          <w:ilvl w:val="0"/>
          <w:numId w:val="3"/>
        </w:numPr>
        <w:spacing w:after="4" w:line="248"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 w:val="18"/>
          <w:szCs w:val="22"/>
          <w:lang w:eastAsia="en-US"/>
        </w:rPr>
        <w:t xml:space="preserve">1) W tabeli dotyczącej oferowanego urządzenia  podano jakie parametry ma posiadać oferowane przedmiot zamówienia   </w:t>
      </w:r>
    </w:p>
    <w:p w:rsidR="00CF7C69" w:rsidRPr="00CF7C69" w:rsidRDefault="00CF7C69" w:rsidP="00CF7C69">
      <w:pPr>
        <w:numPr>
          <w:ilvl w:val="0"/>
          <w:numId w:val="3"/>
        </w:numPr>
        <w:spacing w:after="46" w:line="239" w:lineRule="auto"/>
        <w:ind w:right="73"/>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Wymagania postawione przez Zamawiającego  dotyczące parametrów i funkcji zamawianego urządzenia stanowią wymóg minimalny jakiemu musi odpowiadać oferowany sprzęt. Oferowane urządzenia muszą wymagane, minimalne parametry i funkcje  faktycznie posiadać. W przypadku braku jakiegokolwiek parametru w urządzeniu oferta wykonawcy traktowana będzie jako niezgodna  opisem przedmiotu zamówienia.  </w:t>
      </w:r>
    </w:p>
    <w:p w:rsidR="00CF7C69" w:rsidRPr="00CF7C69" w:rsidRDefault="00CF7C69" w:rsidP="00CF7C69">
      <w:pPr>
        <w:numPr>
          <w:ilvl w:val="0"/>
          <w:numId w:val="3"/>
        </w:numPr>
        <w:spacing w:after="4" w:line="249"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Cs w:val="22"/>
          <w:lang w:eastAsia="en-US"/>
        </w:rPr>
        <w:t xml:space="preserve">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  </w:t>
      </w:r>
    </w:p>
    <w:p w:rsidR="00CF7C69" w:rsidRPr="00CF7C69" w:rsidRDefault="00CF7C69" w:rsidP="00CF7C69">
      <w:pPr>
        <w:numPr>
          <w:ilvl w:val="0"/>
          <w:numId w:val="3"/>
        </w:numPr>
        <w:spacing w:after="4" w:line="249" w:lineRule="auto"/>
        <w:ind w:right="73"/>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Oferowane przedmioty zamówienia    mają być nieużywane i  fabrycznie nowe. </w:t>
      </w:r>
    </w:p>
    <w:p w:rsidR="004B3875" w:rsidRPr="00CF7C69" w:rsidRDefault="004B3875"/>
    <w:sectPr w:rsidR="004B3875" w:rsidRPr="00CF7C69" w:rsidSect="00E276C9">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7C69" w:rsidRDefault="00CF7C69" w:rsidP="00CF7C69">
      <w:r>
        <w:separator/>
      </w:r>
    </w:p>
  </w:endnote>
  <w:endnote w:type="continuationSeparator" w:id="0">
    <w:p w:rsidR="00CF7C69" w:rsidRDefault="00CF7C69" w:rsidP="00CF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DKPJE+TimesNewRoman">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A0C" w:rsidRDefault="00373A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A0C" w:rsidRDefault="00373A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A0C" w:rsidRDefault="00373A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7C69" w:rsidRDefault="00CF7C69" w:rsidP="00CF7C69">
      <w:r>
        <w:separator/>
      </w:r>
    </w:p>
  </w:footnote>
  <w:footnote w:type="continuationSeparator" w:id="0">
    <w:p w:rsidR="00CF7C69" w:rsidRDefault="00CF7C69" w:rsidP="00CF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A0C" w:rsidRDefault="00373A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C69" w:rsidRDefault="00CF7C69" w:rsidP="00CF7C69">
    <w:pPr>
      <w:pStyle w:val="Nagwek"/>
      <w:jc w:val="right"/>
    </w:pPr>
    <w:r>
      <w:t xml:space="preserve">Zał. Nr </w:t>
    </w:r>
    <w:r>
      <w:t>2.</w:t>
    </w:r>
    <w:r w:rsidR="00373A0C">
      <w:t>7.1</w:t>
    </w:r>
  </w:p>
  <w:p w:rsidR="00CF7C69" w:rsidRDefault="00CF7C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A0C" w:rsidRDefault="00373A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422"/>
    <w:multiLevelType w:val="hybridMultilevel"/>
    <w:tmpl w:val="277658A2"/>
    <w:lvl w:ilvl="0" w:tplc="A58A1B3A">
      <w:start w:val="1"/>
      <w:numFmt w:val="bullet"/>
      <w:lvlText w:val="-"/>
      <w:lvlJc w:val="left"/>
      <w:pPr>
        <w:ind w:left="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86419C">
      <w:start w:val="1"/>
      <w:numFmt w:val="bullet"/>
      <w:lvlText w:val="o"/>
      <w:lvlJc w:val="left"/>
      <w:pPr>
        <w:ind w:left="1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C2AEA2">
      <w:start w:val="1"/>
      <w:numFmt w:val="bullet"/>
      <w:lvlText w:val="▪"/>
      <w:lvlJc w:val="left"/>
      <w:pPr>
        <w:ind w:left="2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8C1F5A">
      <w:start w:val="1"/>
      <w:numFmt w:val="bullet"/>
      <w:lvlText w:val="•"/>
      <w:lvlJc w:val="left"/>
      <w:pPr>
        <w:ind w:left="3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048CB6">
      <w:start w:val="1"/>
      <w:numFmt w:val="bullet"/>
      <w:lvlText w:val="o"/>
      <w:lvlJc w:val="left"/>
      <w:pPr>
        <w:ind w:left="3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9CF59A">
      <w:start w:val="1"/>
      <w:numFmt w:val="bullet"/>
      <w:lvlText w:val="▪"/>
      <w:lvlJc w:val="left"/>
      <w:pPr>
        <w:ind w:left="4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AC319C">
      <w:start w:val="1"/>
      <w:numFmt w:val="bullet"/>
      <w:lvlText w:val="•"/>
      <w:lvlJc w:val="left"/>
      <w:pPr>
        <w:ind w:left="5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4E0E18">
      <w:start w:val="1"/>
      <w:numFmt w:val="bullet"/>
      <w:lvlText w:val="o"/>
      <w:lvlJc w:val="left"/>
      <w:pPr>
        <w:ind w:left="6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68FFF8">
      <w:start w:val="1"/>
      <w:numFmt w:val="bullet"/>
      <w:lvlText w:val="▪"/>
      <w:lvlJc w:val="left"/>
      <w:pPr>
        <w:ind w:left="6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7C2B98"/>
    <w:multiLevelType w:val="hybridMultilevel"/>
    <w:tmpl w:val="5E486E28"/>
    <w:lvl w:ilvl="0" w:tplc="5190564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A734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CEA80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06757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B2957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0AF4F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DE612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84F1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CE644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8D331DF"/>
    <w:multiLevelType w:val="hybridMultilevel"/>
    <w:tmpl w:val="0A9C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30"/>
    <w:rsid w:val="001A4387"/>
    <w:rsid w:val="00236BD9"/>
    <w:rsid w:val="00286195"/>
    <w:rsid w:val="00373A0C"/>
    <w:rsid w:val="004B3875"/>
    <w:rsid w:val="00537C01"/>
    <w:rsid w:val="005A7B30"/>
    <w:rsid w:val="00831312"/>
    <w:rsid w:val="00CF7C69"/>
    <w:rsid w:val="00E276C9"/>
    <w:rsid w:val="00F237B4"/>
    <w:rsid w:val="00FA3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738F"/>
  <w15:chartTrackingRefBased/>
  <w15:docId w15:val="{E6CFF613-AEC6-4CAB-903C-F001960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B3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5A7B30"/>
  </w:style>
  <w:style w:type="character" w:customStyle="1" w:styleId="TekstkomentarzaZnak">
    <w:name w:val="Tekst komentarza Znak"/>
    <w:basedOn w:val="Domylnaczcionkaakapitu"/>
    <w:link w:val="Tekstkomentarza"/>
    <w:semiHidden/>
    <w:rsid w:val="005A7B30"/>
    <w:rPr>
      <w:rFonts w:ascii="Times New Roman" w:eastAsia="Times New Roman" w:hAnsi="Times New Roman" w:cs="Times New Roman"/>
      <w:sz w:val="20"/>
      <w:szCs w:val="20"/>
      <w:lang w:eastAsia="pl-PL"/>
    </w:rPr>
  </w:style>
  <w:style w:type="paragraph" w:customStyle="1" w:styleId="TableContents">
    <w:name w:val="Table Contents"/>
    <w:basedOn w:val="Normalny"/>
    <w:rsid w:val="005A7B30"/>
    <w:rPr>
      <w:snapToGrid w:val="0"/>
      <w:sz w:val="24"/>
    </w:rPr>
  </w:style>
  <w:style w:type="paragraph" w:styleId="Tekstpodstawowy">
    <w:name w:val="Body Text"/>
    <w:aliases w:val="(F2)"/>
    <w:basedOn w:val="Normalny"/>
    <w:link w:val="TekstpodstawowyZnak"/>
    <w:rsid w:val="005A7B30"/>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rPr>
  </w:style>
  <w:style w:type="character" w:customStyle="1" w:styleId="TekstpodstawowyZnak">
    <w:name w:val="Tekst podstawowy Znak"/>
    <w:aliases w:val="(F2) Znak"/>
    <w:basedOn w:val="Domylnaczcionkaakapitu"/>
    <w:link w:val="Tekstpodstawowy"/>
    <w:rsid w:val="005A7B30"/>
    <w:rPr>
      <w:rFonts w:ascii="Arial Narrow" w:eastAsia="Times New Roman" w:hAnsi="Arial Narrow" w:cs="Times New Roman"/>
      <w:sz w:val="28"/>
      <w:szCs w:val="20"/>
      <w:lang w:eastAsia="pl-PL"/>
    </w:rPr>
  </w:style>
  <w:style w:type="paragraph" w:customStyle="1" w:styleId="SP17122906">
    <w:name w:val="SP.17.122906"/>
    <w:basedOn w:val="Normalny"/>
    <w:rsid w:val="005A7B30"/>
    <w:rPr>
      <w:rFonts w:ascii="NDKPJE+TimesNewRoman" w:hAnsi="NDKPJE+TimesNewRoman"/>
      <w:snapToGrid w:val="0"/>
      <w:color w:val="000000"/>
      <w:sz w:val="24"/>
    </w:rPr>
  </w:style>
  <w:style w:type="paragraph" w:customStyle="1" w:styleId="Tre">
    <w:name w:val="Treść"/>
    <w:rsid w:val="005A7B30"/>
    <w:pPr>
      <w:spacing w:after="0" w:line="240" w:lineRule="auto"/>
    </w:pPr>
    <w:rPr>
      <w:rFonts w:ascii="Helvetica" w:eastAsia="Arial Unicode MS" w:hAnsi="Helvetica" w:cs="Times New Roman"/>
      <w:szCs w:val="20"/>
      <w:lang w:val="en-US" w:eastAsia="pl-PL"/>
    </w:rPr>
  </w:style>
  <w:style w:type="paragraph" w:customStyle="1" w:styleId="ArialNarow">
    <w:name w:val="Arial Narow"/>
    <w:basedOn w:val="Normalny"/>
    <w:link w:val="ArialNarowZnak"/>
    <w:rsid w:val="005A7B30"/>
    <w:rPr>
      <w:rFonts w:ascii="Arial Narrow" w:eastAsia="Calibri" w:hAnsi="Arial Narrow" w:cs="Arial Narrow"/>
      <w:sz w:val="24"/>
      <w:szCs w:val="24"/>
    </w:rPr>
  </w:style>
  <w:style w:type="character" w:customStyle="1" w:styleId="ArialNarowZnak">
    <w:name w:val="Arial Narow Znak"/>
    <w:link w:val="ArialNarow"/>
    <w:locked/>
    <w:rsid w:val="005A7B30"/>
    <w:rPr>
      <w:rFonts w:ascii="Arial Narrow" w:eastAsia="Calibri" w:hAnsi="Arial Narrow" w:cs="Arial Narrow"/>
      <w:sz w:val="24"/>
      <w:szCs w:val="24"/>
      <w:lang w:eastAsia="pl-PL"/>
    </w:rPr>
  </w:style>
  <w:style w:type="paragraph" w:styleId="Akapitzlist">
    <w:name w:val="List Paragraph"/>
    <w:basedOn w:val="Normalny"/>
    <w:uiPriority w:val="34"/>
    <w:qFormat/>
    <w:rsid w:val="00F237B4"/>
    <w:pPr>
      <w:ind w:left="720"/>
      <w:contextualSpacing/>
    </w:pPr>
  </w:style>
  <w:style w:type="paragraph" w:styleId="Nagwek">
    <w:name w:val="header"/>
    <w:basedOn w:val="Normalny"/>
    <w:link w:val="NagwekZnak"/>
    <w:uiPriority w:val="99"/>
    <w:unhideWhenUsed/>
    <w:rsid w:val="00CF7C69"/>
    <w:pPr>
      <w:tabs>
        <w:tab w:val="center" w:pos="4536"/>
        <w:tab w:val="right" w:pos="9072"/>
      </w:tabs>
    </w:pPr>
  </w:style>
  <w:style w:type="character" w:customStyle="1" w:styleId="NagwekZnak">
    <w:name w:val="Nagłówek Znak"/>
    <w:basedOn w:val="Domylnaczcionkaakapitu"/>
    <w:link w:val="Nagwek"/>
    <w:uiPriority w:val="99"/>
    <w:rsid w:val="00CF7C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F7C69"/>
    <w:pPr>
      <w:tabs>
        <w:tab w:val="center" w:pos="4536"/>
        <w:tab w:val="right" w:pos="9072"/>
      </w:tabs>
    </w:pPr>
  </w:style>
  <w:style w:type="character" w:customStyle="1" w:styleId="StopkaZnak">
    <w:name w:val="Stopka Znak"/>
    <w:basedOn w:val="Domylnaczcionkaakapitu"/>
    <w:link w:val="Stopka"/>
    <w:uiPriority w:val="99"/>
    <w:rsid w:val="00CF7C6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80CF-FBCF-470C-8235-01D217F6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2</cp:revision>
  <dcterms:created xsi:type="dcterms:W3CDTF">2020-05-13T08:45:00Z</dcterms:created>
  <dcterms:modified xsi:type="dcterms:W3CDTF">2020-05-13T08:45:00Z</dcterms:modified>
</cp:coreProperties>
</file>